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493" w:tblpY="3580"/>
        <w:tblOverlap w:val="never"/>
        <w:tblW w:w="9058" w:type="dxa"/>
        <w:tblInd w:w="0" w:type="dxa"/>
        <w:tblLayout w:type="fixed"/>
        <w:tblCellMar>
          <w:top w:w="0" w:type="dxa"/>
          <w:left w:w="28" w:type="dxa"/>
          <w:bottom w:w="0" w:type="dxa"/>
          <w:right w:w="28" w:type="dxa"/>
        </w:tblCellMar>
      </w:tblPr>
      <w:tblGrid>
        <w:gridCol w:w="9058"/>
      </w:tblGrid>
      <w:tr>
        <w:tblPrEx>
          <w:tblLayout w:type="fixed"/>
          <w:tblCellMar>
            <w:top w:w="0" w:type="dxa"/>
            <w:left w:w="28" w:type="dxa"/>
            <w:bottom w:w="0" w:type="dxa"/>
            <w:right w:w="28" w:type="dxa"/>
          </w:tblCellMar>
        </w:tblPrEx>
        <w:trPr>
          <w:trHeight w:val="2582" w:hRule="exact"/>
        </w:trPr>
        <w:tc>
          <w:tcPr>
            <w:tcW w:w="90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210" w:leftChars="100" w:right="210" w:rightChars="100" w:firstLine="0" w:firstLineChars="0"/>
              <w:jc w:val="distribute"/>
              <w:textAlignment w:val="bottom"/>
              <w:outlineLvl w:val="9"/>
              <w:rPr>
                <w:rFonts w:ascii="方正小标宋简体" w:eastAsia="方正小标宋简体"/>
                <w:b/>
                <w:bCs/>
                <w:w w:val="85"/>
                <w:sz w:val="84"/>
                <w:szCs w:val="84"/>
              </w:rPr>
            </w:pPr>
            <w:r>
              <w:rPr>
                <w:rFonts w:hint="eastAsia" w:ascii="方正小标宋简体" w:eastAsia="方正小标宋简体"/>
                <w:b w:val="0"/>
                <w:bCs w:val="0"/>
                <w:color w:val="FF0000"/>
                <w:w w:val="85"/>
                <w:sz w:val="112"/>
                <w:szCs w:val="112"/>
              </w:rPr>
              <w:t>福建省教育厅文件</w:t>
            </w:r>
          </w:p>
        </w:tc>
      </w:tr>
      <w:tr>
        <w:tblPrEx>
          <w:tblLayout w:type="fixed"/>
          <w:tblCellMar>
            <w:top w:w="0" w:type="dxa"/>
            <w:left w:w="28" w:type="dxa"/>
            <w:bottom w:w="0" w:type="dxa"/>
            <w:right w:w="28" w:type="dxa"/>
          </w:tblCellMar>
        </w:tblPrEx>
        <w:trPr>
          <w:trHeight w:val="593" w:hRule="exact"/>
        </w:trPr>
        <w:tc>
          <w:tcPr>
            <w:tcW w:w="9058" w:type="dxa"/>
            <w:noWrap w:val="0"/>
            <w:vAlign w:val="bottom"/>
          </w:tcPr>
          <w:p>
            <w:pPr>
              <w:tabs>
                <w:tab w:val="left" w:pos="1095"/>
              </w:tabs>
              <w:adjustRightInd w:val="0"/>
              <w:snapToGrid w:val="0"/>
              <w:spacing w:before="120" w:line="318" w:lineRule="atLeast"/>
              <w:ind w:right="339" w:firstLine="256" w:firstLineChars="80"/>
              <w:jc w:val="center"/>
              <w:textAlignment w:val="bottom"/>
              <w:rPr>
                <w:rFonts w:ascii="仿宋_GB2312" w:hAnsi="仿宋" w:eastAsia="仿宋_GB2312"/>
              </w:rPr>
            </w:pPr>
            <w:r>
              <w:rPr>
                <w:rFonts w:hint="eastAsia" w:ascii="仿宋_GB2312" w:hAnsi="仿宋_GB2312" w:eastAsia="仿宋_GB2312" w:cs="仿宋_GB2312"/>
                <w:sz w:val="32"/>
                <w:szCs w:val="32"/>
              </w:rPr>
              <w:t>闽教</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p>
        </w:tc>
      </w:tr>
      <w:tr>
        <w:tblPrEx>
          <w:tblLayout w:type="fixed"/>
          <w:tblCellMar>
            <w:top w:w="0" w:type="dxa"/>
            <w:left w:w="28" w:type="dxa"/>
            <w:bottom w:w="0" w:type="dxa"/>
            <w:right w:w="28" w:type="dxa"/>
          </w:tblCellMar>
        </w:tblPrEx>
        <w:trPr>
          <w:trHeight w:val="146" w:hRule="exact"/>
        </w:trPr>
        <w:tc>
          <w:tcPr>
            <w:tcW w:w="9058" w:type="dxa"/>
            <w:noWrap w:val="0"/>
            <w:vAlign w:val="top"/>
          </w:tcPr>
          <w:p>
            <w:pPr>
              <w:adjustRightInd w:val="0"/>
              <w:snapToGrid w:val="0"/>
              <w:spacing w:line="240" w:lineRule="exact"/>
              <w:jc w:val="center"/>
              <w:rPr>
                <w:rFonts w:ascii="仿宋" w:hAnsi="仿宋" w:cs="宋体"/>
                <w:sz w:val="10"/>
                <w:szCs w:val="10"/>
              </w:rPr>
            </w:pPr>
          </w:p>
        </w:tc>
      </w:tr>
    </w:tbl>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rPr>
          <w:rFonts w:hint="eastAsia" w:ascii="方正小标宋简体" w:hAnsi="方正小标宋简体" w:eastAsia="方正小标宋简体" w:cs="方正小标宋简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rPr>
          <w:rFonts w:hint="eastAsia" w:ascii="方正小标宋简体" w:hAnsi="方正小标宋简体" w:eastAsia="方正小标宋简体" w:cs="方正小标宋简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rPr>
          <w:rFonts w:hint="eastAsia" w:ascii="方正小标宋简体" w:hAnsi="方正小标宋简体" w:eastAsia="方正小标宋简体" w:cs="方正小标宋简体"/>
          <w:b w:val="0"/>
          <w:bCs/>
          <w:sz w:val="32"/>
          <w:szCs w:val="32"/>
        </w:rPr>
      </w:pPr>
      <w:r>
        <w:rPr>
          <w:rFonts w:ascii="仿宋" w:hAnsi="仿宋" w:cs="宋体"/>
          <w:sz w:val="44"/>
          <w:szCs w:val="44"/>
        </w:rPr>
        <mc:AlternateContent>
          <mc:Choice Requires="wps">
            <w:drawing>
              <wp:anchor distT="0" distB="0" distL="114300" distR="114300" simplePos="0" relativeHeight="251658240" behindDoc="1" locked="0" layoutInCell="1" allowOverlap="1">
                <wp:simplePos x="0" y="0"/>
                <wp:positionH relativeFrom="column">
                  <wp:posOffset>-97790</wp:posOffset>
                </wp:positionH>
                <wp:positionV relativeFrom="paragraph">
                  <wp:posOffset>2343785</wp:posOffset>
                </wp:positionV>
                <wp:extent cx="5742940" cy="635"/>
                <wp:effectExtent l="0" t="19050" r="2540" b="26035"/>
                <wp:wrapTight wrapText="bothSides">
                  <wp:wrapPolygon>
                    <wp:start x="0" y="-648000"/>
                    <wp:lineTo x="0" y="216000"/>
                    <wp:lineTo x="21552" y="216000"/>
                    <wp:lineTo x="21552" y="-648000"/>
                    <wp:lineTo x="0" y="-648000"/>
                  </wp:wrapPolygon>
                </wp:wrapTight>
                <wp:docPr id="2" name="直接连接符 2"/>
                <wp:cNvGraphicFramePr/>
                <a:graphic xmlns:a="http://schemas.openxmlformats.org/drawingml/2006/main">
                  <a:graphicData uri="http://schemas.microsoft.com/office/word/2010/wordprocessingShape">
                    <wps:wsp>
                      <wps:cNvSpPr/>
                      <wps:spPr>
                        <a:xfrm>
                          <a:off x="0" y="0"/>
                          <a:ext cx="57429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pt;margin-top:184.55pt;height:0.05pt;width:452.2pt;mso-wrap-distance-left:9pt;mso-wrap-distance-right:9pt;z-index:-251658240;mso-width-relative:page;mso-height-relative:page;" filled="f" stroked="t" coordsize="21600,21600" wrapcoords="0 -648000 0 216000 21552 216000 21552 -648000 0 -648000" o:gfxdata="UEsDBAoAAAAAAIdO4kAAAAAAAAAAAAAAAAAEAAAAZHJzL1BLAwQUAAAACACHTuJAX+ILwd0AAAAL&#10;AQAADwAAAGRycy9kb3ducmV2LnhtbE2PwU7DMAyG70i8Q2QkLmhLO2DqStMJISHGdmArSIhb1pi2&#10;WuOUJt3G22O4sKPtT7+/P5sfbSv22PvGkYJ4HIFAKp1pqFLw9vo4SkD4oMno1hEq+EYP8/z8LNOp&#10;cQfa4L4IleAQ8qlWUIfQpVL6skar/dh1SHz7dL3Vgce+kqbXBw63rZxE0VRa3RB/qHWHDzWWu2Kw&#10;CuyLvZcfq6eh6NfPy/ev1WK9u1oodXkRR3cgAh7DPwy/+qwOOTtt3UDGi1bBKL69YVTB9XQWg2Ai&#10;SWbcbvu3mYDMM3naIf8BUEsDBBQAAAAIAIdO4kCk5Cc53gEAAJkDAAAOAAAAZHJzL2Uyb0RvYy54&#10;bWytU0uOEzEQ3SNxB8t70p3Mh5lWOrMghA2CkQYOULHd3Zb8k8uTTi7BBZDYwYole27DcAzKTibD&#10;Z4MQvaguu55f13uunl9trWEbFVF71/LppOZMOeGldn3L375ZPbngDBM4CcY71fKdQn61ePxoPoZG&#10;zfzgjVSREYnDZgwtH1IKTVWhGJQFnPigHBU7Hy0kWsa+khFGYremmtX1eTX6KEP0QiHS7nJf5IvC&#10;33VKpNddhyox03LqLZUYS1znWC3m0PQRwqDFoQ34hy4saEcfPVItIQG7jfoPKqtF9Oi7NBHeVr7r&#10;tFBFA6mZ1r+puRkgqKKFzMFwtAn/H614tbmOTMuWzzhzYOmK7t5/+fbu4/evHyjeff7EZtmkMWBD&#10;2JtwHQ8rpDQr3nbR5jdpYdti7O5orNomJmjz7Onp7PKU/BdUOz85y4zVw9EQMb1Q3rKctNxol1VD&#10;A5uXmPbQe0jeNo6NLT+5mNaZEWhqOgOJUhtIB7q+HEZvtFxpY/IRjP36mYlsAzQHq1VNz6GHX2D5&#10;K0vAYY8rpQyDZlAgnzvJ0i6QQ45GmecerJKcGUWTn7OCTKDN3yBJvnHkQjZ2b2XO1l7u6D5uQ9T9&#10;QFZMS5e5QvdfPDvMah6wn9eF6eGP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ILwd0AAAAL&#10;AQAADwAAAAAAAAABACAAAAAiAAAAZHJzL2Rvd25yZXYueG1sUEsBAhQAFAAAAAgAh07iQKTkJzne&#10;AQAAmQMAAA4AAAAAAAAAAQAgAAAALAEAAGRycy9lMm9Eb2MueG1sUEsFBgAAAAAGAAYAWQEAAHwF&#10;AAAAAA==&#10;">
                <v:fill on="f" focussize="0,0"/>
                <v:stroke weight="3pt" color="#FF0000" joinstyle="round"/>
                <v:imagedata o:title=""/>
                <o:lock v:ext="edit" aspectratio="f"/>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福建省教育厅关于做好20</w:t>
      </w:r>
      <w:r>
        <w:rPr>
          <w:rFonts w:hint="eastAsia" w:ascii="方正小标宋简体" w:hAnsi="方正小标宋简体" w:eastAsia="方正小标宋简体" w:cs="方正小标宋简体"/>
          <w:color w:val="auto"/>
          <w:sz w:val="44"/>
          <w:szCs w:val="44"/>
          <w:lang w:val="en-US" w:eastAsia="zh-CN"/>
        </w:rPr>
        <w:t>21</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高职院校</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分类考试招生</w:t>
      </w:r>
      <w:r>
        <w:rPr>
          <w:rFonts w:hint="eastAsia" w:ascii="方正小标宋简体" w:hAnsi="方正小标宋简体" w:eastAsia="方正小标宋简体" w:cs="方正小标宋简体"/>
          <w:color w:val="auto"/>
          <w:sz w:val="44"/>
          <w:szCs w:val="44"/>
        </w:rPr>
        <w:t>报名工作的通知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bookmarkStart w:id="0" w:name="抄送"/>
      <w:bookmarkEnd w:id="0"/>
      <w:r>
        <w:rPr>
          <w:rFonts w:hint="eastAsia" w:ascii="仿宋_GB2312" w:hAnsi="仿宋_GB2312" w:eastAsia="仿宋_GB2312" w:cs="仿宋_GB2312"/>
          <w:color w:val="auto"/>
          <w:sz w:val="32"/>
          <w:szCs w:val="32"/>
        </w:rPr>
        <w:t>各市、县（区）教育局，平潭综合实验区</w:t>
      </w:r>
      <w:r>
        <w:rPr>
          <w:rFonts w:hint="eastAsia" w:ascii="仿宋_GB2312" w:hAnsi="仿宋_GB2312" w:eastAsia="仿宋_GB2312" w:cs="仿宋_GB2312"/>
          <w:color w:val="auto"/>
          <w:sz w:val="32"/>
          <w:szCs w:val="32"/>
          <w:lang w:eastAsia="zh-CN"/>
        </w:rPr>
        <w:t>社会事业局，有关本科高校，各高职院校，</w:t>
      </w:r>
      <w:r>
        <w:rPr>
          <w:rFonts w:hint="eastAsia" w:ascii="仿宋_GB2312" w:hAnsi="仿宋_GB2312" w:eastAsia="仿宋_GB2312" w:cs="仿宋_GB2312"/>
          <w:color w:val="auto"/>
          <w:sz w:val="32"/>
          <w:szCs w:val="32"/>
        </w:rPr>
        <w:t>省属普通高级中学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中等职业学校：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根据《福建省高等学校招生委员会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福建省教育厅关于</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lang w:val="en-US" w:eastAsia="zh-CN"/>
        </w:rPr>
        <w:t>2021年普通高等学校招生考试报名工作</w:t>
      </w:r>
      <w:r>
        <w:rPr>
          <w:rFonts w:hint="eastAsia" w:ascii="仿宋_GB2312" w:hAnsi="仿宋_GB2312" w:eastAsia="仿宋_GB2312" w:cs="仿宋_GB2312"/>
          <w:color w:val="auto"/>
          <w:sz w:val="32"/>
          <w:szCs w:val="32"/>
        </w:rPr>
        <w:t>的通知》（闽招委〔20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号）和《</w:t>
      </w:r>
      <w:r>
        <w:rPr>
          <w:rFonts w:hint="eastAsia" w:ascii="仿宋_GB2312" w:hAnsi="仿宋_GB2312" w:eastAsia="仿宋_GB2312" w:cs="仿宋_GB2312"/>
          <w:color w:val="auto"/>
          <w:sz w:val="32"/>
          <w:szCs w:val="32"/>
          <w:lang w:eastAsia="zh-CN"/>
        </w:rPr>
        <w:t>福建省教育厅关于印发福建省高职院校分类考试招生改革实施办法的通知》</w:t>
      </w:r>
      <w:r>
        <w:rPr>
          <w:rFonts w:hint="eastAsia" w:ascii="仿宋_GB2312" w:hAnsi="仿宋_GB2312" w:eastAsia="仿宋_GB2312" w:cs="仿宋_GB2312"/>
          <w:color w:val="auto"/>
          <w:sz w:val="32"/>
          <w:szCs w:val="32"/>
        </w:rPr>
        <w:t>（闽教</w:t>
      </w:r>
      <w:r>
        <w:rPr>
          <w:rFonts w:hint="eastAsia" w:ascii="仿宋_GB2312" w:hAnsi="仿宋_GB2312" w:eastAsia="仿宋_GB2312" w:cs="仿宋_GB2312"/>
          <w:color w:val="auto"/>
          <w:sz w:val="32"/>
          <w:szCs w:val="32"/>
          <w:u w:val="none"/>
          <w:lang w:eastAsia="zh-CN"/>
        </w:rPr>
        <w:t>学</w:t>
      </w:r>
      <w:r>
        <w:rPr>
          <w:rFonts w:hint="eastAsia" w:ascii="仿宋_GB2312" w:hAnsi="仿宋_GB2312" w:eastAsia="仿宋_GB2312" w:cs="仿宋_GB2312"/>
          <w:color w:val="auto"/>
          <w:sz w:val="32"/>
          <w:szCs w:val="32"/>
          <w:u w:val="none"/>
        </w:rPr>
        <w:t>〔201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35</w:t>
      </w:r>
      <w:r>
        <w:rPr>
          <w:rFonts w:hint="eastAsia" w:ascii="仿宋_GB2312" w:hAnsi="仿宋_GB2312" w:eastAsia="仿宋_GB2312" w:cs="仿宋_GB2312"/>
          <w:color w:val="auto"/>
          <w:sz w:val="32"/>
          <w:szCs w:val="32"/>
        </w:rPr>
        <w:t>号）等文件精神，为做好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年我省</w:t>
      </w:r>
      <w:r>
        <w:rPr>
          <w:rFonts w:hint="eastAsia" w:ascii="仿宋_GB2312" w:hAnsi="仿宋_GB2312" w:eastAsia="仿宋_GB2312" w:cs="仿宋_GB2312"/>
          <w:color w:val="auto"/>
          <w:sz w:val="32"/>
          <w:szCs w:val="32"/>
          <w:lang w:eastAsia="zh-CN"/>
        </w:rPr>
        <w:t>高职院校分类考试招生</w:t>
      </w:r>
      <w:r>
        <w:rPr>
          <w:rFonts w:hint="eastAsia" w:ascii="仿宋_GB2312" w:hAnsi="仿宋_GB2312" w:eastAsia="仿宋_GB2312" w:cs="仿宋_GB2312"/>
          <w:color w:val="auto"/>
          <w:sz w:val="32"/>
          <w:szCs w:val="32"/>
        </w:rPr>
        <w:t>报名工作，现将有关事项通知如下：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一、报名条件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（一）下列人员可以申请报名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遵守中华人民共和国宪法和法律，符合教育部、省招委会及省教育厅招生考试有关管理规定，高中阶段学校毕业或具有同等学力，身体状况符合相关要求的同时，还须符合下列条件之一：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1.具有我省户籍的人员。其中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不符合《福建省高等学校招生委员会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福建省教育厅关于福建省普通高考报名有关事项的通知》（闽招委〔2018〕7号）第一条（一）至（四）项条件之一的，只能报考高职（专科）批次。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2.进城务工人员及其他非我省户籍就业人员的随迁子女，须具有我省高中阶段学校学籍且有3学年连续实际就读经历。其中，报考面向</w:t>
      </w:r>
      <w:r>
        <w:rPr>
          <w:rFonts w:hint="eastAsia" w:ascii="仿宋_GB2312" w:hAnsi="仿宋_GB2312" w:eastAsia="仿宋_GB2312" w:cs="仿宋_GB2312"/>
          <w:color w:val="auto"/>
          <w:sz w:val="32"/>
          <w:szCs w:val="32"/>
          <w:lang w:eastAsia="zh-CN"/>
        </w:rPr>
        <w:t>中等职业学校毕业生</w:t>
      </w:r>
      <w:r>
        <w:rPr>
          <w:rFonts w:hint="eastAsia" w:ascii="仿宋_GB2312" w:hAnsi="仿宋_GB2312" w:eastAsia="仿宋_GB2312" w:cs="仿宋_GB2312"/>
          <w:color w:val="auto"/>
          <w:sz w:val="32"/>
          <w:szCs w:val="32"/>
        </w:rPr>
        <w:t>本科批次的，其父母一方须有近</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年在我省按国家规定缴交社会保险费或纳税等可证明其在我省从业经历的记录。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.在我省定居、具有我省高中阶段学校实际就读经历并持公安机关签发的《中华人民共和国外国人永久居留身份证》的外国侨民。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台商子女高中毕业后，在大陆获得高中、中等职业学校毕业证书可以在</w:t>
      </w:r>
      <w:r>
        <w:rPr>
          <w:rFonts w:hint="eastAsia" w:ascii="仿宋_GB2312" w:hAnsi="仿宋_GB2312" w:eastAsia="仿宋_GB2312" w:cs="仿宋_GB2312"/>
          <w:color w:val="auto"/>
          <w:sz w:val="32"/>
          <w:szCs w:val="32"/>
          <w:lang w:eastAsia="zh-CN"/>
        </w:rPr>
        <w:t>大陆</w:t>
      </w:r>
      <w:r>
        <w:rPr>
          <w:rFonts w:hint="eastAsia" w:ascii="仿宋_GB2312" w:hAnsi="仿宋_GB2312" w:eastAsia="仿宋_GB2312" w:cs="仿宋_GB2312"/>
          <w:color w:val="auto"/>
          <w:sz w:val="32"/>
          <w:szCs w:val="32"/>
        </w:rPr>
        <w:t>参加相关高职院校分类招考。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（二）下列人员不得申请报名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1.具有高等学历教育资格的高校的在校生</w:t>
      </w:r>
      <w:r>
        <w:rPr>
          <w:rFonts w:hint="eastAsia" w:ascii="仿宋_GB2312" w:hAnsi="仿宋_GB2312" w:eastAsia="仿宋_GB2312" w:cs="仿宋_GB2312"/>
          <w:color w:val="auto"/>
          <w:sz w:val="32"/>
          <w:szCs w:val="32"/>
          <w:lang w:eastAsia="zh-CN"/>
        </w:rPr>
        <w:t>（含“五年制”高职教育学生）</w:t>
      </w:r>
      <w:r>
        <w:rPr>
          <w:rFonts w:hint="eastAsia" w:ascii="仿宋_GB2312" w:hAnsi="仿宋_GB2312" w:eastAsia="仿宋_GB2312" w:cs="仿宋_GB2312"/>
          <w:color w:val="auto"/>
          <w:sz w:val="32"/>
          <w:szCs w:val="32"/>
        </w:rPr>
        <w:t>，或已被高校录取并保留入学资格的学生。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2.高中阶段学校非应届毕业的在校生。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3.在高中阶段非应届毕业年份以弄虚作假手段报名并违规参加普通高考（含全国统考，省级统考和高校单独组织的招生考试）的应届毕业班学生。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4.因违反国家教育考试规定，被给予暂停参加高校招生考试处理且在停考期内的人员。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5.因触犯刑法已被有关部门采取强制措施或正在服刑者。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6.不符合我省高职</w:t>
      </w:r>
      <w:r>
        <w:rPr>
          <w:rFonts w:hint="eastAsia" w:ascii="仿宋_GB2312" w:hAnsi="仿宋_GB2312" w:eastAsia="仿宋_GB2312" w:cs="仿宋_GB2312"/>
          <w:color w:val="auto"/>
          <w:sz w:val="32"/>
          <w:szCs w:val="32"/>
          <w:lang w:eastAsia="zh-CN"/>
        </w:rPr>
        <w:t>院校分类考试招生</w:t>
      </w:r>
      <w:r>
        <w:rPr>
          <w:rFonts w:hint="eastAsia" w:ascii="仿宋_GB2312" w:hAnsi="仿宋_GB2312" w:eastAsia="仿宋_GB2312" w:cs="仿宋_GB2312"/>
          <w:color w:val="auto"/>
          <w:sz w:val="32"/>
          <w:szCs w:val="32"/>
        </w:rPr>
        <w:t>报名条件的其他人员。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报名后至20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年7月1日前，将户籍迁出我省或将高中阶段学校学籍转出我省的，视为自行放弃我省高职</w:t>
      </w:r>
      <w:r>
        <w:rPr>
          <w:rFonts w:hint="eastAsia" w:ascii="仿宋_GB2312" w:hAnsi="仿宋_GB2312" w:eastAsia="仿宋_GB2312" w:cs="仿宋_GB2312"/>
          <w:color w:val="auto"/>
          <w:sz w:val="32"/>
          <w:szCs w:val="32"/>
          <w:lang w:eastAsia="zh-CN"/>
        </w:rPr>
        <w:t>院校分类考试招生</w:t>
      </w:r>
      <w:r>
        <w:rPr>
          <w:rFonts w:hint="eastAsia" w:ascii="仿宋_GB2312" w:hAnsi="仿宋_GB2312" w:eastAsia="仿宋_GB2312" w:cs="仿宋_GB2312"/>
          <w:color w:val="auto"/>
          <w:sz w:val="32"/>
          <w:szCs w:val="32"/>
        </w:rPr>
        <w:t>的考试和录取资格。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考生类别和报考科类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（一）考生类别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考生类别分为中职学校类和普通高中类。报考中职学校类的考生为中等职业学校（含技工学校，下同）的</w:t>
      </w:r>
      <w:r>
        <w:rPr>
          <w:rFonts w:hint="eastAsia" w:ascii="仿宋_GB2312" w:hAnsi="仿宋_GB2312" w:eastAsia="仿宋_GB2312" w:cs="仿宋_GB2312"/>
          <w:color w:val="auto"/>
          <w:sz w:val="32"/>
          <w:szCs w:val="32"/>
          <w:lang w:val="en-US" w:eastAsia="zh-CN"/>
        </w:rPr>
        <w:t>应届毕业班学生、往届毕业生或同等学力人员</w:t>
      </w:r>
      <w:r>
        <w:rPr>
          <w:rFonts w:hint="eastAsia" w:ascii="仿宋_GB2312" w:hAnsi="仿宋_GB2312" w:eastAsia="仿宋_GB2312" w:cs="仿宋_GB2312"/>
          <w:color w:val="auto"/>
          <w:sz w:val="32"/>
          <w:szCs w:val="32"/>
          <w:lang w:eastAsia="zh-CN"/>
        </w:rPr>
        <w:t>。报考普通高中类的考生为普通高中的</w:t>
      </w:r>
      <w:r>
        <w:rPr>
          <w:rFonts w:hint="eastAsia" w:ascii="仿宋_GB2312" w:hAnsi="仿宋_GB2312" w:eastAsia="仿宋_GB2312" w:cs="仿宋_GB2312"/>
          <w:color w:val="auto"/>
          <w:sz w:val="32"/>
          <w:szCs w:val="32"/>
          <w:lang w:val="en-US" w:eastAsia="zh-CN"/>
        </w:rPr>
        <w:t>应届毕业班学生、往届毕业生或同等学力人员。符合</w:t>
      </w:r>
      <w:r>
        <w:rPr>
          <w:rFonts w:hint="eastAsia" w:ascii="仿宋_GB2312" w:hAnsi="仿宋_GB2312" w:eastAsia="仿宋_GB2312" w:cs="仿宋_GB2312"/>
          <w:color w:val="auto"/>
          <w:sz w:val="32"/>
          <w:szCs w:val="32"/>
          <w:lang w:eastAsia="zh-CN"/>
        </w:rPr>
        <w:t>报考普通高中类的考生不得跨类报考中职学校类。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（二）报考科类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中职学校类报考人员应按照我省中等职业学校学业水平专业基础知识考试课程选择对应的报考科类（见附件）。</w:t>
      </w:r>
      <w:r>
        <w:rPr>
          <w:rFonts w:hint="eastAsia" w:ascii="仿宋_GB2312" w:hAnsi="仿宋_GB2312" w:eastAsia="仿宋_GB2312" w:cs="仿宋_GB2312"/>
          <w:color w:val="auto"/>
          <w:sz w:val="32"/>
          <w:szCs w:val="32"/>
          <w:lang w:val="en-US" w:eastAsia="zh-CN"/>
        </w:rPr>
        <w:t>报考人员选择的报考科类如与其参加的</w:t>
      </w:r>
      <w:r>
        <w:rPr>
          <w:rFonts w:hint="eastAsia" w:ascii="仿宋_GB2312" w:hAnsi="仿宋_GB2312" w:eastAsia="仿宋_GB2312" w:cs="仿宋_GB2312"/>
          <w:color w:val="auto"/>
          <w:sz w:val="32"/>
          <w:szCs w:val="32"/>
          <w:lang w:eastAsia="zh-CN"/>
        </w:rPr>
        <w:t>中等职业学校学业水平专业基础知识考试课程对应的报考科类不一致，其专业基础知识考试成绩按零分计。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普通高中类考生不分报考科类。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三、报名办法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我省20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年高职</w:t>
      </w:r>
      <w:r>
        <w:rPr>
          <w:rFonts w:hint="eastAsia" w:ascii="仿宋_GB2312" w:hAnsi="仿宋_GB2312" w:eastAsia="仿宋_GB2312" w:cs="仿宋_GB2312"/>
          <w:color w:val="auto"/>
          <w:sz w:val="32"/>
          <w:szCs w:val="32"/>
          <w:lang w:eastAsia="zh-CN"/>
        </w:rPr>
        <w:t>院校分类考试招生</w:t>
      </w:r>
      <w:r>
        <w:rPr>
          <w:rFonts w:hint="eastAsia" w:ascii="仿宋_GB2312" w:hAnsi="仿宋_GB2312" w:eastAsia="仿宋_GB2312" w:cs="仿宋_GB2312"/>
          <w:color w:val="auto"/>
          <w:sz w:val="32"/>
          <w:szCs w:val="32"/>
        </w:rPr>
        <w:t>报名包括“网上报名”和“现场确认”两个阶段。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（一）网上报名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1.报</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具有免试录取资格</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，下同）于20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至28</w:t>
      </w:r>
      <w:r>
        <w:rPr>
          <w:rFonts w:hint="eastAsia" w:ascii="仿宋_GB2312" w:hAnsi="仿宋_GB2312" w:eastAsia="仿宋_GB2312" w:cs="仿宋_GB2312"/>
          <w:color w:val="auto"/>
          <w:sz w:val="32"/>
          <w:szCs w:val="32"/>
        </w:rPr>
        <w:t>日登录福建省教育考试院网站（www.eeafj.cn）进行网上报名，逾期不予</w:t>
      </w:r>
      <w:r>
        <w:rPr>
          <w:rFonts w:hint="eastAsia" w:ascii="仿宋_GB2312" w:hAnsi="仿宋_GB2312" w:eastAsia="仿宋_GB2312" w:cs="仿宋_GB2312"/>
          <w:color w:val="auto"/>
          <w:sz w:val="32"/>
          <w:szCs w:val="32"/>
          <w:lang w:eastAsia="zh-CN"/>
        </w:rPr>
        <w:t>受理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2.报考人员应按要求如实填写报名信息，并对所填信息的真实性、准确性负责。报考人员</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选择报名现场确认点</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，应届毕业</w:t>
      </w:r>
      <w:r>
        <w:rPr>
          <w:rFonts w:hint="eastAsia" w:ascii="仿宋_GB2312" w:hAnsi="仿宋_GB2312" w:eastAsia="仿宋_GB2312" w:cs="仿宋_GB2312"/>
          <w:color w:val="auto"/>
          <w:sz w:val="32"/>
          <w:szCs w:val="32"/>
          <w:lang w:eastAsia="zh-CN"/>
        </w:rPr>
        <w:t>班学</w:t>
      </w:r>
      <w:r>
        <w:rPr>
          <w:rFonts w:hint="eastAsia" w:ascii="仿宋_GB2312" w:hAnsi="仿宋_GB2312" w:eastAsia="仿宋_GB2312" w:cs="仿宋_GB2312"/>
          <w:color w:val="auto"/>
          <w:sz w:val="32"/>
          <w:szCs w:val="32"/>
        </w:rPr>
        <w:t>生原则上选择学籍所在县（市、区）的确认点；本省户籍非应届毕业</w:t>
      </w:r>
      <w:r>
        <w:rPr>
          <w:rFonts w:hint="eastAsia" w:ascii="仿宋_GB2312" w:hAnsi="仿宋_GB2312" w:eastAsia="仿宋_GB2312" w:cs="仿宋_GB2312"/>
          <w:color w:val="auto"/>
          <w:sz w:val="32"/>
          <w:szCs w:val="32"/>
          <w:lang w:eastAsia="zh-CN"/>
        </w:rPr>
        <w:t>班学</w:t>
      </w:r>
      <w:r>
        <w:rPr>
          <w:rFonts w:hint="eastAsia" w:ascii="仿宋_GB2312" w:hAnsi="仿宋_GB2312" w:eastAsia="仿宋_GB2312" w:cs="仿宋_GB2312"/>
          <w:color w:val="auto"/>
          <w:sz w:val="32"/>
          <w:szCs w:val="32"/>
        </w:rPr>
        <w:t>生（含往届生和同等学力人员，下同）原则上选择户籍所在县（市、区）的</w:t>
      </w:r>
      <w:r>
        <w:rPr>
          <w:rFonts w:hint="eastAsia" w:ascii="仿宋_GB2312" w:hAnsi="仿宋_GB2312" w:eastAsia="仿宋_GB2312" w:cs="仿宋_GB2312"/>
          <w:color w:val="auto"/>
          <w:sz w:val="32"/>
          <w:szCs w:val="32"/>
          <w:lang w:eastAsia="zh-CN"/>
        </w:rPr>
        <w:t>指定</w:t>
      </w:r>
      <w:r>
        <w:rPr>
          <w:rFonts w:hint="eastAsia" w:ascii="仿宋_GB2312" w:hAnsi="仿宋_GB2312" w:eastAsia="仿宋_GB2312" w:cs="仿宋_GB2312"/>
          <w:color w:val="auto"/>
          <w:sz w:val="32"/>
          <w:szCs w:val="32"/>
        </w:rPr>
        <w:t>确认点；随迁子女非应届毕业</w:t>
      </w:r>
      <w:r>
        <w:rPr>
          <w:rFonts w:hint="eastAsia" w:ascii="仿宋_GB2312" w:hAnsi="仿宋_GB2312" w:eastAsia="仿宋_GB2312" w:cs="仿宋_GB2312"/>
          <w:color w:val="auto"/>
          <w:sz w:val="32"/>
          <w:szCs w:val="32"/>
          <w:lang w:eastAsia="zh-CN"/>
        </w:rPr>
        <w:t>班学</w:t>
      </w:r>
      <w:r>
        <w:rPr>
          <w:rFonts w:hint="eastAsia" w:ascii="仿宋_GB2312" w:hAnsi="仿宋_GB2312" w:eastAsia="仿宋_GB2312" w:cs="仿宋_GB2312"/>
          <w:color w:val="auto"/>
          <w:sz w:val="32"/>
          <w:szCs w:val="32"/>
        </w:rPr>
        <w:t>生应选择原高中阶段学校学籍所在县（市、区）的确认点。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（二）现场确认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1.报名确认点由县（市、区）确定。报名确认点应设在县（市、区）教育招生考试机构、普通高中</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中等职业学校，不得设在培训机构（学校）等。各县（市、区）应于</w:t>
      </w:r>
      <w:r>
        <w:rPr>
          <w:rFonts w:hint="eastAsia" w:ascii="仿宋_GB2312" w:hAnsi="仿宋_GB2312" w:eastAsia="仿宋_GB2312" w:cs="仿宋_GB2312"/>
          <w:color w:val="auto"/>
          <w:sz w:val="32"/>
          <w:szCs w:val="32"/>
          <w:lang w:eastAsia="zh-CN"/>
        </w:rPr>
        <w:t>网上</w:t>
      </w:r>
      <w:r>
        <w:rPr>
          <w:rFonts w:hint="eastAsia" w:ascii="仿宋_GB2312" w:hAnsi="仿宋_GB2312" w:eastAsia="仿宋_GB2312" w:cs="仿宋_GB2312"/>
          <w:color w:val="auto"/>
          <w:sz w:val="32"/>
          <w:szCs w:val="32"/>
        </w:rPr>
        <w:t>报名开始前，向社会公布本辖区所有报名确认点的名称、受理范围、地址、咨询电话等信息。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2.报考人员本人须于</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至12月3</w:t>
      </w:r>
      <w:r>
        <w:rPr>
          <w:rFonts w:hint="eastAsia" w:ascii="仿宋_GB2312" w:hAnsi="仿宋_GB2312" w:eastAsia="仿宋_GB2312" w:cs="仿宋_GB2312"/>
          <w:color w:val="auto"/>
          <w:sz w:val="32"/>
          <w:szCs w:val="32"/>
        </w:rPr>
        <w:t>日，持报名所需材料到所选择的确认点现场确认，逾期不予受理。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3.现场确认时，报考人员须提交相关报名材料原件和复印件（供现场核对）：本人户口簿、</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居民身份证、学籍和实际就读证明等材料。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年应届毕业</w:t>
      </w:r>
      <w:r>
        <w:rPr>
          <w:rFonts w:hint="eastAsia" w:ascii="仿宋_GB2312" w:hAnsi="仿宋_GB2312" w:eastAsia="仿宋_GB2312" w:cs="仿宋_GB2312"/>
          <w:color w:val="auto"/>
          <w:sz w:val="32"/>
          <w:szCs w:val="32"/>
          <w:lang w:eastAsia="zh-CN"/>
        </w:rPr>
        <w:t>班学</w:t>
      </w:r>
      <w:r>
        <w:rPr>
          <w:rFonts w:hint="eastAsia" w:ascii="仿宋_GB2312" w:hAnsi="仿宋_GB2312" w:eastAsia="仿宋_GB2312" w:cs="仿宋_GB2312"/>
          <w:color w:val="auto"/>
          <w:sz w:val="32"/>
          <w:szCs w:val="32"/>
        </w:rPr>
        <w:t>生须提交毕业班学籍花名册（须经学籍主管教育行政部门审定并加盖学籍专用章）和实际就读证明（须经报考人员所在学校审定、校长签字并加盖学校公章）。往届毕业生须提交高中阶段学校毕业证书。同等学力人员须提交初中毕业证书等相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需要以父母工作调动、人才引进、驻闽部队现役军人（含文职人员）身份报考的人员，须同时提供父母一方的身份证明材料。库区移民身份由当地教育部门协调库区管理部门核查。属投靠父母一方的报考人员，须同时提交被投靠人户口簿和身份证。随迁子女还须同时提交父母一方在闽从业经历证明材料，其中缴交社会保险费或纳税的由教育部门汇总名单后交由当地人社、税务等部门核查。在我省定居的外国侨民，须提交《中华人民共和国外国人永久居留身份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4.各报名确认点要严把报名确认关，逐一核对报考人员的身份信息和相关证明材料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使用二代居民身份证阅读机对报考人员基本信息的准确性进行校验。要加强报名数据与学籍数据对比，严格审核报考人员学籍及其实际就读情况。要按规定将随迁子女身份信息在考区进行公示（其中应届毕业</w:t>
      </w:r>
      <w:r>
        <w:rPr>
          <w:rFonts w:hint="eastAsia" w:ascii="仿宋_GB2312" w:hAnsi="仿宋_GB2312" w:eastAsia="仿宋_GB2312" w:cs="仿宋_GB2312"/>
          <w:color w:val="auto"/>
          <w:sz w:val="32"/>
          <w:szCs w:val="32"/>
          <w:lang w:eastAsia="zh-CN"/>
        </w:rPr>
        <w:t>班学</w:t>
      </w:r>
      <w:r>
        <w:rPr>
          <w:rFonts w:hint="eastAsia" w:ascii="仿宋_GB2312" w:hAnsi="仿宋_GB2312" w:eastAsia="仿宋_GB2312" w:cs="仿宋_GB2312"/>
          <w:color w:val="auto"/>
          <w:sz w:val="32"/>
          <w:szCs w:val="32"/>
        </w:rPr>
        <w:t>生还须在其就读的高中阶段学校同步公示）。严禁应届毕业班学生冒用同等学力</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或往届生身份报名，严禁冒用随迁子女身份报名，严禁不符合我省高职</w:t>
      </w:r>
      <w:r>
        <w:rPr>
          <w:rFonts w:hint="eastAsia" w:ascii="仿宋_GB2312" w:hAnsi="仿宋_GB2312" w:eastAsia="仿宋_GB2312" w:cs="仿宋_GB2312"/>
          <w:color w:val="auto"/>
          <w:sz w:val="32"/>
          <w:szCs w:val="32"/>
          <w:lang w:eastAsia="zh-CN"/>
        </w:rPr>
        <w:t>院校分类考试招生</w:t>
      </w:r>
      <w:r>
        <w:rPr>
          <w:rFonts w:hint="eastAsia" w:ascii="仿宋_GB2312" w:hAnsi="仿宋_GB2312" w:eastAsia="仿宋_GB2312" w:cs="仿宋_GB2312"/>
          <w:color w:val="auto"/>
          <w:sz w:val="32"/>
          <w:szCs w:val="32"/>
        </w:rPr>
        <w:t>报名条件的人员报名。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5.报考人员本人应认真阅读报名确认点打印的《20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年福建省</w:t>
      </w:r>
      <w:r>
        <w:rPr>
          <w:rFonts w:hint="eastAsia" w:ascii="仿宋_GB2312" w:hAnsi="仿宋_GB2312" w:eastAsia="仿宋_GB2312" w:cs="仿宋_GB2312"/>
          <w:color w:val="auto"/>
          <w:sz w:val="32"/>
          <w:szCs w:val="32"/>
          <w:lang w:eastAsia="zh-CN"/>
        </w:rPr>
        <w:t>高职院校分类</w:t>
      </w:r>
      <w:r>
        <w:rPr>
          <w:rFonts w:hint="eastAsia" w:ascii="仿宋_GB2312" w:hAnsi="仿宋_GB2312" w:eastAsia="仿宋_GB2312" w:cs="仿宋_GB2312"/>
          <w:color w:val="auto"/>
          <w:sz w:val="32"/>
          <w:szCs w:val="32"/>
        </w:rPr>
        <w:t>考试招生报名表》所有信息，核对确认无误后签名，</w:t>
      </w:r>
      <w:r>
        <w:rPr>
          <w:rFonts w:hint="eastAsia" w:ascii="仿宋_GB2312" w:hAnsi="仿宋_GB2312" w:eastAsia="仿宋_GB2312" w:cs="仿宋_GB2312"/>
          <w:color w:val="auto"/>
          <w:sz w:val="32"/>
          <w:szCs w:val="32"/>
          <w:lang w:eastAsia="zh-CN"/>
        </w:rPr>
        <w:t>他人</w:t>
      </w:r>
      <w:r>
        <w:rPr>
          <w:rFonts w:hint="eastAsia" w:ascii="仿宋_GB2312" w:hAnsi="仿宋_GB2312" w:eastAsia="仿宋_GB2312" w:cs="仿宋_GB2312"/>
          <w:color w:val="auto"/>
          <w:sz w:val="32"/>
          <w:szCs w:val="32"/>
        </w:rPr>
        <w:t>不得代签。一经签名确认，所有信息不得更改，由于信息错误导致的后果由报考人员本人</w:t>
      </w:r>
      <w:r>
        <w:rPr>
          <w:rFonts w:hint="eastAsia" w:ascii="仿宋_GB2312" w:hAnsi="仿宋_GB2312" w:eastAsia="仿宋_GB2312" w:cs="仿宋_GB2312"/>
          <w:color w:val="auto"/>
          <w:sz w:val="32"/>
          <w:szCs w:val="32"/>
          <w:lang w:eastAsia="zh-CN"/>
        </w:rPr>
        <w:t>承担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报考人员选择“只能报考高职（专科）批次”的，只能参加高职（专科）批次的录取。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6.报名工作结束后，各报名确认点应及时将报考人员的报名材料完整归档（一人一档），由县（市、区）教育招生考试机构统一保管备查。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考试科目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（一）中职学校类考生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依据福建省中等职业学校学业水平考试成绩和职业技能测试成绩，参考学生综合素质评价择优录取。</w:t>
      </w:r>
      <w:r>
        <w:rPr>
          <w:rFonts w:hint="eastAsia" w:ascii="仿宋_GB2312" w:hAnsi="仿宋_GB2312" w:eastAsia="仿宋_GB2312" w:cs="仿宋_GB2312"/>
          <w:color w:val="auto"/>
          <w:sz w:val="32"/>
          <w:szCs w:val="32"/>
          <w:lang w:val="en-US" w:eastAsia="zh-CN"/>
        </w:rPr>
        <w:t>职业技能测试由全省统一组织，高职院校联合实施，具体安排另行通知。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学业水平考试成绩</w:t>
      </w:r>
      <w:r>
        <w:rPr>
          <w:rFonts w:hint="eastAsia" w:ascii="仿宋_GB2312" w:hAnsi="仿宋_GB2312" w:eastAsia="仿宋_GB2312" w:cs="仿宋_GB2312"/>
          <w:color w:val="auto"/>
          <w:sz w:val="32"/>
          <w:szCs w:val="32"/>
          <w:lang w:val="en-US" w:eastAsia="zh-CN"/>
        </w:rPr>
        <w:t>使用其在2020年9月参加我省中等职业学校学业水平公共基础知识（德育、语文、数学、英语）和</w:t>
      </w:r>
      <w:r>
        <w:rPr>
          <w:rFonts w:hint="eastAsia" w:ascii="仿宋_GB2312" w:hAnsi="仿宋_GB2312" w:eastAsia="仿宋_GB2312" w:cs="仿宋_GB2312"/>
          <w:color w:val="auto"/>
          <w:sz w:val="32"/>
          <w:szCs w:val="32"/>
          <w:lang w:eastAsia="zh-CN"/>
        </w:rPr>
        <w:t>专业基础知识的</w:t>
      </w:r>
      <w:r>
        <w:rPr>
          <w:rFonts w:hint="eastAsia" w:ascii="仿宋_GB2312" w:hAnsi="仿宋_GB2312" w:eastAsia="仿宋_GB2312" w:cs="仿宋_GB2312"/>
          <w:color w:val="auto"/>
          <w:sz w:val="32"/>
          <w:szCs w:val="32"/>
          <w:lang w:val="en-US" w:eastAsia="zh-CN"/>
        </w:rPr>
        <w:t>合格性、等级性考试成绩。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（二）普通高中类考生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依据福建省普通高中学业水平合格性考试成绩，参考学生综合素质评价及职业适应性测试</w:t>
      </w:r>
      <w:r>
        <w:rPr>
          <w:rFonts w:hint="eastAsia" w:ascii="仿宋_GB2312" w:hAnsi="仿宋_GB2312" w:eastAsia="仿宋_GB2312" w:cs="仿宋_GB2312"/>
          <w:color w:val="auto"/>
          <w:sz w:val="32"/>
          <w:szCs w:val="32"/>
          <w:lang w:val="en-US" w:eastAsia="zh-CN"/>
        </w:rPr>
        <w:t>结果择优录取。职业适应性测试由全省统一组织，具体安排另行通知。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2.对于应届毕业班学生，使用其参加我省普通高中学业水平语文、数学、外语、思想政治、信息技术、通用技术</w:t>
      </w:r>
      <w:r>
        <w:rPr>
          <w:rFonts w:hint="eastAsia" w:ascii="仿宋_GB2312" w:hAnsi="仿宋_GB2312" w:eastAsia="仿宋_GB2312" w:cs="仿宋_GB2312"/>
          <w:b w:val="0"/>
          <w:i w:val="0"/>
          <w:caps w:val="0"/>
          <w:color w:val="auto"/>
          <w:spacing w:val="0"/>
          <w:sz w:val="32"/>
          <w:szCs w:val="32"/>
          <w:shd w:val="clear" w:fill="FFFFFF"/>
          <w:lang w:eastAsia="zh-CN"/>
        </w:rPr>
        <w:t>（不含实践操作）等</w:t>
      </w:r>
      <w:r>
        <w:rPr>
          <w:rFonts w:hint="eastAsia" w:ascii="仿宋_GB2312" w:hAnsi="仿宋_GB2312" w:eastAsia="仿宋_GB2312" w:cs="仿宋_GB2312"/>
          <w:color w:val="auto"/>
          <w:sz w:val="32"/>
          <w:szCs w:val="32"/>
          <w:lang w:val="en-US" w:eastAsia="zh-CN"/>
        </w:rPr>
        <w:t>科目合格性考试成绩（非补考成绩）作为录取依据。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3.对于往届毕业生或同等学力人员，使用其在2021年1月参加我省普通高中学业水平语文、数学、外语、思想政治、信息技术、通用技术</w:t>
      </w:r>
      <w:r>
        <w:rPr>
          <w:rFonts w:hint="eastAsia" w:ascii="仿宋_GB2312" w:hAnsi="仿宋_GB2312" w:eastAsia="仿宋_GB2312" w:cs="仿宋_GB2312"/>
          <w:b w:val="0"/>
          <w:i w:val="0"/>
          <w:caps w:val="0"/>
          <w:color w:val="auto"/>
          <w:spacing w:val="0"/>
          <w:sz w:val="32"/>
          <w:szCs w:val="32"/>
          <w:shd w:val="clear" w:fill="FFFFFF"/>
          <w:lang w:eastAsia="zh-CN"/>
        </w:rPr>
        <w:t>（不含实践操作）等</w:t>
      </w:r>
      <w:r>
        <w:rPr>
          <w:rFonts w:hint="eastAsia" w:ascii="仿宋_GB2312" w:hAnsi="仿宋_GB2312" w:eastAsia="仿宋_GB2312" w:cs="仿宋_GB2312"/>
          <w:color w:val="auto"/>
          <w:sz w:val="32"/>
          <w:szCs w:val="32"/>
          <w:lang w:val="en-US" w:eastAsia="zh-CN"/>
        </w:rPr>
        <w:t>科目合格性考试成绩作为录取依据。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从外省（区、市）转入我省的</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，需按规定参加我省语文、数学、外语、思想政治、信息技术、通用技术等六门科目合格性考试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其原就读地的省级主管部门提供学业水平考试成绩证明仅作为</w:t>
      </w:r>
      <w:r>
        <w:rPr>
          <w:rFonts w:hint="eastAsia" w:ascii="仿宋_GB2312" w:hAnsi="仿宋_GB2312" w:eastAsia="仿宋_GB2312" w:cs="仿宋_GB2312"/>
          <w:color w:val="auto"/>
          <w:sz w:val="32"/>
          <w:szCs w:val="32"/>
          <w:lang w:eastAsia="zh-CN"/>
        </w:rPr>
        <w:t>普通高中</w:t>
      </w:r>
      <w:r>
        <w:rPr>
          <w:rFonts w:hint="eastAsia" w:ascii="仿宋_GB2312" w:hAnsi="仿宋_GB2312" w:eastAsia="仿宋_GB2312" w:cs="仿宋_GB2312"/>
          <w:color w:val="auto"/>
          <w:sz w:val="32"/>
          <w:szCs w:val="32"/>
        </w:rPr>
        <w:t>毕业依据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五、录取时间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录取工作拟安排在2021年4月。被录取的考生不得再参加2021年普通高考；未被录取且符合我省2021年普通高考报名条件的考生可以申请2021年普通高考补报名。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、思想政治品德考核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（一）</w:t>
      </w:r>
      <w:r>
        <w:rPr>
          <w:rFonts w:hint="eastAsia" w:ascii="仿宋_GB2312" w:hAnsi="仿宋_GB2312" w:eastAsia="仿宋_GB2312" w:cs="仿宋_GB2312"/>
          <w:color w:val="auto"/>
          <w:sz w:val="32"/>
          <w:szCs w:val="32"/>
          <w:lang w:eastAsia="zh-CN"/>
        </w:rPr>
        <w:t>思想政治品德考核主要是考核考生本人的现实表现。</w:t>
      </w:r>
      <w:r>
        <w:rPr>
          <w:rFonts w:hint="eastAsia" w:ascii="仿宋_GB2312" w:hAnsi="仿宋_GB2312" w:eastAsia="仿宋_GB2312" w:cs="仿宋_GB2312"/>
          <w:color w:val="auto"/>
          <w:sz w:val="32"/>
          <w:szCs w:val="32"/>
        </w:rPr>
        <w:t>考生所在学校或单位（无</w:t>
      </w:r>
      <w:r>
        <w:rPr>
          <w:rFonts w:hint="eastAsia" w:ascii="仿宋_GB2312" w:hAnsi="仿宋_GB2312" w:eastAsia="仿宋_GB2312" w:cs="仿宋_GB2312"/>
          <w:color w:val="auto"/>
          <w:sz w:val="32"/>
          <w:szCs w:val="32"/>
          <w:lang w:eastAsia="zh-CN"/>
        </w:rPr>
        <w:t>就读学校或</w:t>
      </w:r>
      <w:r>
        <w:rPr>
          <w:rFonts w:hint="eastAsia" w:ascii="仿宋_GB2312" w:hAnsi="仿宋_GB2312" w:eastAsia="仿宋_GB2312" w:cs="仿宋_GB2312"/>
          <w:color w:val="auto"/>
          <w:sz w:val="32"/>
          <w:szCs w:val="32"/>
        </w:rPr>
        <w:t>工作单位的考生</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所属</w:t>
      </w:r>
      <w:r>
        <w:rPr>
          <w:rFonts w:hint="eastAsia" w:ascii="仿宋_GB2312" w:hAnsi="仿宋_GB2312" w:eastAsia="仿宋_GB2312" w:cs="仿宋_GB2312"/>
          <w:color w:val="auto"/>
          <w:sz w:val="32"/>
          <w:szCs w:val="32"/>
        </w:rPr>
        <w:t>乡镇、街道办事处）应对考生的政治态度、思想品德作出全面鉴定，并对其真实性负责。考核材料由县（市、区）教育招生考试机构归入考生的报考资料。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（二）</w:t>
      </w:r>
      <w:r>
        <w:rPr>
          <w:rFonts w:hint="eastAsia" w:ascii="仿宋_GB2312" w:hAnsi="仿宋_GB2312" w:eastAsia="仿宋_GB2312" w:cs="仿宋_GB2312"/>
          <w:color w:val="auto"/>
          <w:sz w:val="32"/>
          <w:szCs w:val="32"/>
        </w:rPr>
        <w:t>对受过刑事处罚、治安管理处罚或其他违法违纪处理的考生，负责考核的学校或单位要向考生报名所在地的教育招生考试机构及时提供其所犯错误的事实、处理意见和本人对错误的认识及改正错误的现实表现等翔实材料，并对其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（三）</w:t>
      </w:r>
      <w:r>
        <w:rPr>
          <w:rFonts w:hint="eastAsia" w:ascii="仿宋_GB2312" w:hAnsi="仿宋_GB2312" w:eastAsia="仿宋_GB2312" w:cs="仿宋_GB2312"/>
          <w:color w:val="auto"/>
          <w:sz w:val="32"/>
          <w:szCs w:val="32"/>
        </w:rPr>
        <w:t>考生有下列情形之一且未能提供对错误的认识及改正错误的现实表现等证明材料的，应认定为思想政治品德考核不合格：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1.有反对宪法所确定的基本原则的言行或参加邪教组织，情节严重的；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2.触犯刑法、治安管理处罚法，受到刑事处罚或治安管理处罚且情节严重、性质恶劣的。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、身体健康状况检查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所有考生均须参加身体健康状况检查，身体健康状况检查信息将作为考生电子档案的组成部分。具体工作安排另行通知。考生若未按要求参加身体健康状况检查，由此产生的后果由考生本人</w:t>
      </w:r>
      <w:r>
        <w:rPr>
          <w:rFonts w:hint="eastAsia" w:ascii="仿宋_GB2312" w:hAnsi="仿宋_GB2312" w:eastAsia="仿宋_GB2312" w:cs="仿宋_GB2312"/>
          <w:color w:val="auto"/>
          <w:sz w:val="32"/>
          <w:szCs w:val="32"/>
          <w:lang w:eastAsia="zh-CN"/>
        </w:rPr>
        <w:t>承担</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（一）加强组织领导。</w:t>
      </w:r>
      <w:r>
        <w:rPr>
          <w:rFonts w:hint="eastAsia" w:ascii="仿宋_GB2312" w:hAnsi="仿宋_GB2312" w:eastAsia="仿宋_GB2312" w:cs="仿宋_GB2312"/>
          <w:color w:val="auto"/>
          <w:sz w:val="32"/>
          <w:szCs w:val="32"/>
        </w:rPr>
        <w:t>各市、县（区）教育局要切实加强对报名工作的组织领导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结合本地工作</w:t>
      </w:r>
      <w:r>
        <w:rPr>
          <w:rFonts w:hint="eastAsia" w:ascii="仿宋_GB2312" w:eastAsia="仿宋_GB2312"/>
          <w:color w:val="auto"/>
          <w:sz w:val="32"/>
          <w:szCs w:val="32"/>
          <w:lang w:eastAsia="zh-CN"/>
        </w:rPr>
        <w:t>和</w:t>
      </w:r>
      <w:r>
        <w:rPr>
          <w:rFonts w:hint="eastAsia" w:ascii="仿宋_GB2312" w:eastAsia="仿宋_GB2312"/>
          <w:color w:val="auto"/>
          <w:sz w:val="32"/>
          <w:szCs w:val="32"/>
        </w:rPr>
        <w:t>疫情防控实际，完善</w:t>
      </w:r>
      <w:r>
        <w:rPr>
          <w:rFonts w:hint="eastAsia" w:ascii="仿宋_GB2312" w:hAnsi="仿宋_GB2312" w:eastAsia="仿宋_GB2312" w:cs="仿宋_GB2312"/>
          <w:color w:val="auto"/>
          <w:sz w:val="32"/>
          <w:szCs w:val="32"/>
        </w:rPr>
        <w:t>本辖区高职</w:t>
      </w:r>
      <w:r>
        <w:rPr>
          <w:rFonts w:hint="eastAsia" w:ascii="仿宋_GB2312" w:hAnsi="仿宋_GB2312" w:eastAsia="仿宋_GB2312" w:cs="仿宋_GB2312"/>
          <w:color w:val="auto"/>
          <w:sz w:val="32"/>
          <w:szCs w:val="32"/>
          <w:lang w:eastAsia="zh-CN"/>
        </w:rPr>
        <w:t>院校分类考试招生</w:t>
      </w:r>
      <w:r>
        <w:rPr>
          <w:rFonts w:hint="eastAsia" w:ascii="仿宋_GB2312" w:hAnsi="仿宋_GB2312" w:eastAsia="仿宋_GB2312" w:cs="仿宋_GB2312"/>
          <w:color w:val="auto"/>
          <w:sz w:val="32"/>
          <w:szCs w:val="32"/>
        </w:rPr>
        <w:t>报名和</w:t>
      </w:r>
      <w:r>
        <w:rPr>
          <w:rFonts w:hint="eastAsia" w:ascii="仿宋_GB2312" w:hAnsi="仿宋_GB2312" w:eastAsia="仿宋_GB2312" w:cs="仿宋_GB2312"/>
          <w:color w:val="auto"/>
          <w:sz w:val="32"/>
          <w:szCs w:val="32"/>
          <w:lang w:eastAsia="zh-CN"/>
        </w:rPr>
        <w:t>疫情防控工作方案</w:t>
      </w:r>
      <w:r>
        <w:rPr>
          <w:rFonts w:hint="eastAsia" w:ascii="仿宋_GB2312" w:hAnsi="仿宋_GB2312" w:eastAsia="仿宋_GB2312" w:cs="仿宋_GB2312"/>
          <w:color w:val="auto"/>
          <w:sz w:val="32"/>
          <w:szCs w:val="32"/>
        </w:rPr>
        <w:t>，要严格把握工作流程和时间节点，准确把握报名政策和要求，加强报名工作各环节的管理，确保</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rPr>
        <w:t>工作落到实处，责任到岗到人。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（二）严格资格审查。</w:t>
      </w:r>
      <w:r>
        <w:rPr>
          <w:rFonts w:hint="eastAsia" w:ascii="仿宋_GB2312" w:hAnsi="仿宋_GB2312" w:eastAsia="仿宋_GB2312" w:cs="仿宋_GB2312"/>
          <w:color w:val="auto"/>
          <w:sz w:val="32"/>
          <w:szCs w:val="32"/>
        </w:rPr>
        <w:t>各地要</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熟悉政策、坚持原则、责任心强的在职公职人员负责报名资格审查工作，加强对工作人员的业务培训和纪律教育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坚持“谁审核、谁把关、谁负责”原则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严格报名资格审查，严防弄虚作假。县（市、区）教育招生考试机构是报名资格审查工作责任主体，主要负责</w:t>
      </w:r>
      <w:r>
        <w:rPr>
          <w:rFonts w:hint="eastAsia" w:ascii="仿宋_GB2312" w:hAnsi="仿宋_GB2312" w:eastAsia="仿宋_GB2312" w:cs="仿宋_GB2312"/>
          <w:color w:val="auto"/>
          <w:sz w:val="32"/>
          <w:szCs w:val="32"/>
          <w:lang w:eastAsia="zh-CN"/>
        </w:rPr>
        <w:t>同志</w:t>
      </w:r>
      <w:r>
        <w:rPr>
          <w:rFonts w:hint="eastAsia" w:ascii="仿宋_GB2312" w:hAnsi="仿宋_GB2312" w:eastAsia="仿宋_GB2312" w:cs="仿宋_GB2312"/>
          <w:color w:val="auto"/>
          <w:sz w:val="32"/>
          <w:szCs w:val="32"/>
        </w:rPr>
        <w:t>是第一责任人，经办人员是直接责任人。设区市教育招生考试机构负有监督检查责任，市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县（市、区）教育局</w:t>
      </w:r>
      <w:r>
        <w:rPr>
          <w:rFonts w:hint="eastAsia" w:ascii="仿宋_GB2312" w:hAnsi="仿宋_GB2312" w:eastAsia="仿宋_GB2312" w:cs="仿宋_GB2312"/>
          <w:color w:val="auto"/>
          <w:sz w:val="32"/>
          <w:szCs w:val="32"/>
          <w:lang w:eastAsia="zh-CN"/>
        </w:rPr>
        <w:t>主要负责同志</w:t>
      </w:r>
      <w:r>
        <w:rPr>
          <w:rFonts w:hint="eastAsia" w:ascii="仿宋_GB2312" w:hAnsi="仿宋_GB2312" w:eastAsia="仿宋_GB2312" w:cs="仿宋_GB2312"/>
          <w:color w:val="auto"/>
          <w:sz w:val="32"/>
          <w:szCs w:val="32"/>
        </w:rPr>
        <w:t>和分管</w:t>
      </w:r>
      <w:r>
        <w:rPr>
          <w:rFonts w:hint="eastAsia" w:ascii="仿宋_GB2312" w:hAnsi="仿宋_GB2312" w:eastAsia="仿宋_GB2312" w:cs="仿宋_GB2312"/>
          <w:color w:val="auto"/>
          <w:sz w:val="32"/>
          <w:szCs w:val="32"/>
          <w:lang w:eastAsia="zh-CN"/>
        </w:rPr>
        <w:t>负责同志</w:t>
      </w:r>
      <w:r>
        <w:rPr>
          <w:rFonts w:hint="eastAsia" w:ascii="仿宋_GB2312" w:hAnsi="仿宋_GB2312" w:eastAsia="仿宋_GB2312" w:cs="仿宋_GB2312"/>
          <w:color w:val="auto"/>
          <w:sz w:val="32"/>
          <w:szCs w:val="32"/>
        </w:rPr>
        <w:t>负有领导责任。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（三）优化服务保障。</w:t>
      </w:r>
      <w:r>
        <w:rPr>
          <w:rFonts w:hint="eastAsia" w:ascii="仿宋_GB2312" w:hAnsi="仿宋_GB2312" w:eastAsia="仿宋_GB2312" w:cs="仿宋_GB2312"/>
          <w:color w:val="auto"/>
          <w:sz w:val="32"/>
          <w:szCs w:val="32"/>
        </w:rPr>
        <w:t>各地要坚持以考生为本，增强服务意识，设立咨询电话，做好政策宣传和咨询解读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在确认点张贴报名政策、确认程序、提交材料以及注意事项等，为考生参加报名提供周到细致的</w:t>
      </w:r>
      <w:r>
        <w:rPr>
          <w:rFonts w:hint="eastAsia" w:ascii="仿宋_GB2312" w:hAnsi="仿宋_GB2312" w:eastAsia="仿宋_GB2312" w:cs="仿宋_GB2312"/>
          <w:color w:val="auto"/>
          <w:sz w:val="32"/>
          <w:szCs w:val="32"/>
          <w:lang w:eastAsia="zh-CN"/>
        </w:rPr>
        <w:t>服务保障</w:t>
      </w:r>
      <w:r>
        <w:rPr>
          <w:rFonts w:hint="eastAsia" w:ascii="仿宋_GB2312" w:hAnsi="仿宋_GB2312" w:eastAsia="仿宋_GB2312" w:cs="仿宋_GB2312"/>
          <w:color w:val="auto"/>
          <w:sz w:val="32"/>
          <w:szCs w:val="32"/>
        </w:rPr>
        <w:t>。要加强对考生准确填报信息的指导，指定专人对采集的考生有关信息进行检查校验，确保考生信息完整、准确、安全。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（四）严肃违规查处。</w:t>
      </w:r>
      <w:r>
        <w:rPr>
          <w:rFonts w:hint="eastAsia" w:ascii="仿宋_GB2312" w:eastAsia="仿宋_GB2312"/>
          <w:color w:val="auto"/>
          <w:sz w:val="32"/>
          <w:szCs w:val="32"/>
        </w:rPr>
        <w:t>各地要认真落实监管</w:t>
      </w:r>
      <w:r>
        <w:rPr>
          <w:rFonts w:hint="eastAsia" w:ascii="仿宋_GB2312" w:eastAsia="仿宋_GB2312"/>
          <w:color w:val="auto"/>
          <w:sz w:val="32"/>
          <w:szCs w:val="32"/>
          <w:lang w:eastAsia="zh-CN"/>
        </w:rPr>
        <w:t>和管理</w:t>
      </w:r>
      <w:r>
        <w:rPr>
          <w:rFonts w:hint="eastAsia" w:ascii="仿宋_GB2312" w:eastAsia="仿宋_GB2312"/>
          <w:color w:val="auto"/>
          <w:sz w:val="32"/>
          <w:szCs w:val="32"/>
        </w:rPr>
        <w:t>责任，及时</w:t>
      </w:r>
      <w:r>
        <w:rPr>
          <w:rFonts w:hint="eastAsia" w:ascii="仿宋_GB2312" w:eastAsia="仿宋_GB2312"/>
          <w:color w:val="auto"/>
          <w:sz w:val="32"/>
          <w:szCs w:val="32"/>
          <w:lang w:eastAsia="zh-CN"/>
        </w:rPr>
        <w:t>发现和</w:t>
      </w:r>
      <w:r>
        <w:rPr>
          <w:rFonts w:hint="eastAsia" w:ascii="仿宋_GB2312" w:eastAsia="仿宋_GB2312"/>
          <w:color w:val="auto"/>
          <w:sz w:val="32"/>
          <w:szCs w:val="32"/>
        </w:rPr>
        <w:t>调查处理</w:t>
      </w:r>
      <w:r>
        <w:rPr>
          <w:rFonts w:hint="eastAsia" w:ascii="仿宋_GB2312" w:eastAsia="仿宋_GB2312"/>
          <w:color w:val="auto"/>
          <w:sz w:val="32"/>
          <w:szCs w:val="32"/>
          <w:lang w:eastAsia="zh-CN"/>
        </w:rPr>
        <w:t>报名工作</w:t>
      </w:r>
      <w:r>
        <w:rPr>
          <w:rFonts w:hint="eastAsia" w:ascii="仿宋_GB2312" w:eastAsia="仿宋_GB2312"/>
          <w:color w:val="auto"/>
          <w:sz w:val="32"/>
          <w:szCs w:val="32"/>
        </w:rPr>
        <w:t>中的违规违纪行为。对</w:t>
      </w:r>
      <w:r>
        <w:rPr>
          <w:rFonts w:hint="eastAsia" w:ascii="仿宋_GB2312" w:hAnsi="仿宋_GB2312" w:eastAsia="仿宋_GB2312" w:cs="仿宋_GB2312"/>
          <w:color w:val="auto"/>
          <w:sz w:val="32"/>
          <w:szCs w:val="32"/>
        </w:rPr>
        <w:t>于提供虚假个人户籍学籍信息或伪造、非法获得证明材料获取</w:t>
      </w:r>
      <w:r>
        <w:rPr>
          <w:rFonts w:hint="eastAsia" w:ascii="仿宋_GB2312" w:hAnsi="仿宋_GB2312" w:eastAsia="仿宋_GB2312" w:cs="仿宋_GB2312"/>
          <w:color w:val="auto"/>
          <w:sz w:val="32"/>
          <w:szCs w:val="32"/>
          <w:lang w:eastAsia="zh-CN"/>
        </w:rPr>
        <w:t>报考</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造成考生信息泄露</w:t>
      </w:r>
      <w:r>
        <w:rPr>
          <w:rFonts w:hint="eastAsia" w:ascii="仿宋_GB2312" w:hAnsi="仿宋_GB2312" w:eastAsia="仿宋_GB2312" w:cs="仿宋_GB2312"/>
          <w:color w:val="auto"/>
          <w:sz w:val="32"/>
          <w:szCs w:val="32"/>
          <w:lang w:eastAsia="zh-CN"/>
        </w:rPr>
        <w:t>等</w:t>
      </w:r>
      <w:r>
        <w:rPr>
          <w:rFonts w:hint="eastAsia" w:ascii="仿宋_GB2312" w:eastAsia="仿宋_GB2312"/>
          <w:color w:val="auto"/>
          <w:sz w:val="32"/>
          <w:szCs w:val="32"/>
        </w:rPr>
        <w:t>违反</w:t>
      </w:r>
      <w:r>
        <w:rPr>
          <w:rFonts w:hint="eastAsia" w:ascii="仿宋_GB2312" w:eastAsia="仿宋_GB2312"/>
          <w:color w:val="auto"/>
          <w:sz w:val="32"/>
          <w:szCs w:val="32"/>
          <w:lang w:eastAsia="zh-CN"/>
        </w:rPr>
        <w:t>招生报名</w:t>
      </w:r>
      <w:r>
        <w:rPr>
          <w:rFonts w:hint="eastAsia" w:ascii="仿宋_GB2312" w:eastAsia="仿宋_GB2312"/>
          <w:color w:val="auto"/>
          <w:sz w:val="32"/>
          <w:szCs w:val="32"/>
        </w:rPr>
        <w:t>有关规定的单位和个人，参照《普通高等学校招生违规处理暂行办法》（教育部令第36号）等规定严肃处理。涉嫌犯罪的，移送司法机关追究法律责任。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附件：福建省中等职业学校学业水平专业基础知识考试课程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440" w:firstLineChars="45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与报考科类对应表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福建省教育厅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rPr>
          <w:rFonts w:hint="eastAsia" w:ascii="黑体" w:hAnsi="黑体" w:eastAsia="黑体" w:cs="黑体"/>
          <w:b w:val="0"/>
          <w:bCs w:val="0"/>
          <w:i w:val="0"/>
          <w:color w:val="auto"/>
          <w:kern w:val="0"/>
          <w:sz w:val="32"/>
          <w:szCs w:val="32"/>
          <w:u w:val="none"/>
          <w:lang w:val="en-US" w:eastAsia="zh-CN" w:bidi="ar"/>
        </w:rPr>
        <w:sectPr>
          <w:footerReference r:id="rId3" w:type="default"/>
          <w:pgSz w:w="11906" w:h="16838"/>
          <w:pgMar w:top="2098" w:right="1474" w:bottom="1701"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color w:val="auto"/>
          <w:sz w:val="32"/>
          <w:szCs w:val="32"/>
          <w:lang w:eastAsia="zh-CN"/>
        </w:rPr>
        <w:t>（此件主动公开）</w:t>
      </w:r>
      <w:r>
        <w:rPr>
          <w:rFonts w:hint="eastAsia" w:ascii="仿宋_GB2312" w:hAnsi="仿宋_GB2312" w:eastAsia="仿宋_GB2312" w:cs="仿宋_GB2312"/>
          <w:color w:val="auto"/>
          <w:sz w:val="32"/>
          <w:szCs w:val="32"/>
        </w:rPr>
        <w:br w:type="page"/>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黑体" w:hAnsi="黑体" w:eastAsia="黑体" w:cs="黑体"/>
          <w:b w:val="0"/>
          <w:bCs w:val="0"/>
          <w:i w:val="0"/>
          <w:color w:val="auto"/>
          <w:kern w:val="0"/>
          <w:sz w:val="32"/>
          <w:szCs w:val="32"/>
          <w:u w:val="none"/>
          <w:lang w:val="en-US" w:eastAsia="zh-CN" w:bidi="ar"/>
        </w:rPr>
      </w:pPr>
      <w:r>
        <w:rPr>
          <w:rFonts w:hint="eastAsia" w:ascii="黑体" w:hAnsi="黑体" w:eastAsia="黑体" w:cs="黑体"/>
          <w:b w:val="0"/>
          <w:bCs w:val="0"/>
          <w:i w:val="0"/>
          <w:color w:val="auto"/>
          <w:kern w:val="0"/>
          <w:sz w:val="32"/>
          <w:szCs w:val="32"/>
          <w:u w:val="none"/>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auto"/>
          <w:kern w:val="0"/>
          <w:sz w:val="32"/>
          <w:szCs w:val="32"/>
          <w:u w:val="none"/>
          <w:lang w:val="en-US" w:eastAsia="zh-CN" w:bidi="ar"/>
        </w:rPr>
      </w:pPr>
      <w:r>
        <w:rPr>
          <w:rFonts w:hint="eastAsia" w:ascii="方正小标宋简体" w:hAnsi="方正小标宋简体" w:eastAsia="方正小标宋简体" w:cs="方正小标宋简体"/>
          <w:i w:val="0"/>
          <w:color w:val="auto"/>
          <w:kern w:val="0"/>
          <w:sz w:val="32"/>
          <w:szCs w:val="32"/>
          <w:u w:val="none"/>
          <w:lang w:val="en-US" w:eastAsia="zh-CN" w:bidi="ar"/>
        </w:rPr>
        <w:t>福建省中等职业学校学业水平专业基础知识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auto"/>
          <w:kern w:val="0"/>
          <w:sz w:val="32"/>
          <w:szCs w:val="32"/>
          <w:u w:val="none"/>
          <w:lang w:val="en-US" w:eastAsia="zh-CN" w:bidi="ar"/>
        </w:rPr>
      </w:pPr>
      <w:r>
        <w:rPr>
          <w:rFonts w:hint="eastAsia" w:ascii="方正小标宋简体" w:hAnsi="方正小标宋简体" w:eastAsia="方正小标宋简体" w:cs="方正小标宋简体"/>
          <w:i w:val="0"/>
          <w:color w:val="auto"/>
          <w:kern w:val="0"/>
          <w:sz w:val="32"/>
          <w:szCs w:val="32"/>
          <w:u w:val="none"/>
          <w:lang w:val="en-US" w:eastAsia="zh-CN" w:bidi="ar"/>
        </w:rPr>
        <w:t>考试课程与报考科类对应表</w:t>
      </w:r>
    </w:p>
    <w:tbl>
      <w:tblPr>
        <w:tblStyle w:val="6"/>
        <w:tblW w:w="78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3"/>
        <w:gridCol w:w="3599"/>
        <w:gridCol w:w="3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专业基础知识考试课程</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对应报考</w:t>
            </w:r>
            <w:r>
              <w:rPr>
                <w:rFonts w:hint="eastAsia" w:ascii="宋体" w:hAnsi="宋体" w:cs="宋体"/>
                <w:b/>
                <w:i w:val="0"/>
                <w:color w:val="auto"/>
                <w:kern w:val="0"/>
                <w:sz w:val="24"/>
                <w:szCs w:val="24"/>
                <w:u w:val="none"/>
                <w:lang w:val="en-US" w:eastAsia="zh-CN" w:bidi="ar"/>
              </w:rPr>
              <w:t>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植物生产与环境</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农林类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畜禽解剖生理</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畜牧类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海洋生物学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渔业类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工程制图与识图</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土木工程类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机械基础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电工基础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电子技术基础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无机化学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化工类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纺织材料</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纺织类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服装结构基础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食品微生物</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汽车构造</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汽车类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城市轨道交通运营安全</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城市轨道交通类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铁路客运组织</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铁道运输类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船舶结构与货运</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航运技术管理类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计算机网络技术</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计算机类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解剖学基础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医药卫生类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化妆基础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形象设计类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会计基础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财经管理类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市场营销基础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商贸管理类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旅游概论</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旅游服务类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烹饪原料知识</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美术基础知识</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美术与设计类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基本乐理</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音乐与表演类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新闻基础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广播影视类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体育健康概论</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体育类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学前儿童卫生保健</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办公事务管理</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办公事务类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社会学基础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公共管理与服务类</w:t>
            </w:r>
          </w:p>
        </w:tc>
      </w:tr>
    </w:tbl>
    <w:p>
      <w:pPr>
        <w:keepNext w:val="0"/>
        <w:keepLines w:val="0"/>
        <w:pageBreakBefore w:val="0"/>
        <w:widowControl w:val="0"/>
        <w:kinsoku/>
        <w:wordWrap/>
        <w:overflowPunct/>
        <w:topLinePunct w:val="0"/>
        <w:autoSpaceDE/>
        <w:autoSpaceDN/>
        <w:bidi w:val="0"/>
        <w:adjustRightInd w:val="0"/>
        <w:snapToGrid w:val="0"/>
        <w:spacing w:line="360" w:lineRule="auto"/>
        <w:rPr>
          <w:rFonts w:hint="eastAsia"/>
          <w:color w:val="auto"/>
        </w:rPr>
      </w:pPr>
    </w:p>
    <w:p>
      <w:pPr>
        <w:pStyle w:val="4"/>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p>
    <w:p>
      <w:pPr>
        <w:rPr>
          <w:rFonts w:hint="eastAsia" w:ascii="宋体" w:hAnsi="宋体" w:cs="宋体"/>
          <w:b w:val="0"/>
          <w:bCs w:val="0"/>
          <w:sz w:val="28"/>
          <w:szCs w:val="36"/>
          <w:lang w:val="en-US" w:eastAsia="zh-CN"/>
        </w:rPr>
      </w:pPr>
      <w:bookmarkStart w:id="1" w:name="_GoBack"/>
      <w:bookmarkEnd w:id="1"/>
    </w:p>
    <w:tbl>
      <w:tblPr>
        <w:tblStyle w:val="6"/>
        <w:tblpPr w:leftFromText="180" w:rightFromText="180" w:vertAnchor="page" w:horzAnchor="page" w:tblpX="1520" w:tblpY="14407"/>
        <w:tblOverlap w:val="never"/>
        <w:tblW w:w="903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580"/>
        <w:gridCol w:w="445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4580" w:type="dxa"/>
            <w:tcBorders>
              <w:tl2br w:val="nil"/>
              <w:tr2bl w:val="nil"/>
            </w:tcBorders>
            <w:vAlign w:val="bottom"/>
          </w:tcPr>
          <w:p>
            <w:pPr>
              <w:spacing w:after="100" w:line="590" w:lineRule="exact"/>
              <w:ind w:right="136" w:rightChars="65" w:firstLine="280" w:firstLineChars="100"/>
              <w:rPr>
                <w:rFonts w:ascii="仿宋_GB2312" w:hAnsi="仿宋" w:eastAsia="仿宋_GB2312"/>
                <w:color w:val="auto"/>
                <w:sz w:val="28"/>
              </w:rPr>
            </w:pPr>
            <w:r>
              <w:rPr>
                <w:rFonts w:hint="eastAsia" w:ascii="仿宋_GB2312" w:hAnsi="仿宋" w:eastAsia="仿宋_GB2312" w:cs="仿宋_GB2312"/>
                <w:color w:val="auto"/>
                <w:sz w:val="28"/>
              </w:rPr>
              <w:t>福建省教育厅办公室</w:t>
            </w:r>
          </w:p>
        </w:tc>
        <w:tc>
          <w:tcPr>
            <w:tcW w:w="4450" w:type="dxa"/>
            <w:tcBorders>
              <w:tl2br w:val="nil"/>
              <w:tr2bl w:val="nil"/>
            </w:tcBorders>
            <w:vAlign w:val="center"/>
          </w:tcPr>
          <w:p>
            <w:pPr>
              <w:spacing w:after="100" w:afterAutospacing="1" w:line="590" w:lineRule="exact"/>
              <w:ind w:right="136" w:rightChars="65" w:firstLine="840" w:firstLineChars="300"/>
              <w:jc w:val="right"/>
              <w:textAlignment w:val="bottom"/>
              <w:rPr>
                <w:rFonts w:ascii="仿宋_GB2312" w:eastAsia="仿宋_GB2312"/>
                <w:color w:val="auto"/>
              </w:rPr>
            </w:pPr>
            <w:r>
              <w:rPr>
                <w:rFonts w:hint="eastAsia" w:ascii="仿宋_GB2312" w:hAnsi="仿宋" w:eastAsia="仿宋_GB2312" w:cs="仿宋_GB2312"/>
                <w:color w:val="auto"/>
                <w:sz w:val="28"/>
              </w:rPr>
              <w:t>20</w:t>
            </w:r>
            <w:r>
              <w:rPr>
                <w:rFonts w:hint="eastAsia" w:ascii="仿宋_GB2312" w:hAnsi="仿宋" w:eastAsia="仿宋_GB2312" w:cs="仿宋_GB2312"/>
                <w:color w:val="auto"/>
                <w:sz w:val="28"/>
                <w:lang w:val="en-US" w:eastAsia="zh-CN"/>
              </w:rPr>
              <w:t>20</w:t>
            </w:r>
            <w:r>
              <w:rPr>
                <w:rFonts w:hint="eastAsia" w:ascii="仿宋_GB2312" w:hAnsi="仿宋" w:eastAsia="仿宋_GB2312" w:cs="仿宋_GB2312"/>
                <w:color w:val="auto"/>
                <w:sz w:val="28"/>
              </w:rPr>
              <w:t>年</w:t>
            </w:r>
            <w:r>
              <w:rPr>
                <w:rFonts w:hint="eastAsia" w:ascii="仿宋_GB2312" w:hAnsi="仿宋" w:eastAsia="仿宋_GB2312" w:cs="仿宋_GB2312"/>
                <w:color w:val="auto"/>
                <w:sz w:val="28"/>
                <w:lang w:val="en-US" w:eastAsia="zh-CN"/>
              </w:rPr>
              <w:t>11</w:t>
            </w:r>
            <w:r>
              <w:rPr>
                <w:rFonts w:hint="eastAsia" w:ascii="仿宋_GB2312" w:hAnsi="仿宋" w:eastAsia="仿宋_GB2312" w:cs="仿宋_GB2312"/>
                <w:color w:val="auto"/>
                <w:sz w:val="28"/>
              </w:rPr>
              <w:t>月</w:t>
            </w:r>
            <w:r>
              <w:rPr>
                <w:rFonts w:hint="eastAsia" w:ascii="仿宋_GB2312" w:hAnsi="仿宋" w:eastAsia="仿宋_GB2312" w:cs="仿宋_GB2312"/>
                <w:color w:val="auto"/>
                <w:sz w:val="28"/>
                <w:lang w:val="en-US" w:eastAsia="zh-CN"/>
              </w:rPr>
              <w:t>20</w:t>
            </w:r>
            <w:r>
              <w:rPr>
                <w:rFonts w:hint="eastAsia" w:ascii="仿宋_GB2312" w:hAnsi="仿宋" w:eastAsia="仿宋_GB2312" w:cs="仿宋_GB2312"/>
                <w:color w:val="auto"/>
                <w:sz w:val="28"/>
              </w:rPr>
              <w:t>日印发</w:t>
            </w:r>
            <w:r>
              <w:rPr>
                <w:rFonts w:hint="eastAsia" w:ascii="仿宋_GB2312" w:eastAsia="仿宋_GB2312" w:cs="仿宋_GB2312"/>
                <w:color w:val="auto"/>
              </w:rPr>
              <w:t xml:space="preserve"> </w:t>
            </w:r>
          </w:p>
        </w:tc>
      </w:tr>
    </w:tbl>
    <w:p>
      <w:pPr>
        <w:rPr>
          <w:rFonts w:hint="eastAsia" w:ascii="宋体" w:hAnsi="宋体" w:cs="宋体"/>
          <w:b w:val="0"/>
          <w:bCs w:val="0"/>
          <w:sz w:val="28"/>
          <w:szCs w:val="36"/>
          <w:lang w:val="en-US" w:eastAsia="zh-CN"/>
        </w:rPr>
      </w:pPr>
    </w:p>
    <w:p>
      <w:pPr>
        <w:jc w:val="left"/>
        <w:rPr>
          <w:rFonts w:hint="eastAsia"/>
          <w:lang w:val="en-US" w:eastAsia="zh-CN"/>
        </w:rPr>
      </w:pPr>
    </w:p>
    <w:sectPr>
      <w:pgSz w:w="11906" w:h="16838"/>
      <w:pgMar w:top="1984" w:right="1474" w:bottom="147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B4522"/>
    <w:rsid w:val="00463026"/>
    <w:rsid w:val="00B515D8"/>
    <w:rsid w:val="08132E28"/>
    <w:rsid w:val="0CF96653"/>
    <w:rsid w:val="0D632A2C"/>
    <w:rsid w:val="0D890300"/>
    <w:rsid w:val="0DAC4C4E"/>
    <w:rsid w:val="0DE85C70"/>
    <w:rsid w:val="0ED3513C"/>
    <w:rsid w:val="102B4522"/>
    <w:rsid w:val="137F491E"/>
    <w:rsid w:val="145741D2"/>
    <w:rsid w:val="15604E34"/>
    <w:rsid w:val="15C202FD"/>
    <w:rsid w:val="16CF44CC"/>
    <w:rsid w:val="176F65D4"/>
    <w:rsid w:val="17BE4A71"/>
    <w:rsid w:val="17EC2DA9"/>
    <w:rsid w:val="1F994D23"/>
    <w:rsid w:val="2433762F"/>
    <w:rsid w:val="245243FF"/>
    <w:rsid w:val="24623496"/>
    <w:rsid w:val="283E16C9"/>
    <w:rsid w:val="29390C90"/>
    <w:rsid w:val="294937CA"/>
    <w:rsid w:val="31476A03"/>
    <w:rsid w:val="38351D8A"/>
    <w:rsid w:val="3B394351"/>
    <w:rsid w:val="3D6E5CDA"/>
    <w:rsid w:val="3D77549C"/>
    <w:rsid w:val="3E6E7002"/>
    <w:rsid w:val="4085398A"/>
    <w:rsid w:val="415D2736"/>
    <w:rsid w:val="416C4F1F"/>
    <w:rsid w:val="42332013"/>
    <w:rsid w:val="430D78F1"/>
    <w:rsid w:val="434D091A"/>
    <w:rsid w:val="43B31573"/>
    <w:rsid w:val="4A195E18"/>
    <w:rsid w:val="4A1A0BBD"/>
    <w:rsid w:val="4C6E2E78"/>
    <w:rsid w:val="4D9F56FC"/>
    <w:rsid w:val="508B3254"/>
    <w:rsid w:val="50B24994"/>
    <w:rsid w:val="51FA0A6C"/>
    <w:rsid w:val="57FA65F2"/>
    <w:rsid w:val="59657E2D"/>
    <w:rsid w:val="5A3D4142"/>
    <w:rsid w:val="5B7410F9"/>
    <w:rsid w:val="5BA00F47"/>
    <w:rsid w:val="63E22B14"/>
    <w:rsid w:val="644A5AF2"/>
    <w:rsid w:val="645A7870"/>
    <w:rsid w:val="66326AEF"/>
    <w:rsid w:val="66E07944"/>
    <w:rsid w:val="6A625253"/>
    <w:rsid w:val="6FC4468E"/>
    <w:rsid w:val="721C2882"/>
    <w:rsid w:val="7277761F"/>
    <w:rsid w:val="777D35D0"/>
    <w:rsid w:val="7BFF2CE2"/>
    <w:rsid w:val="7C3A1A7F"/>
    <w:rsid w:val="7F1E57D2"/>
    <w:rsid w:val="7FAA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1474</Words>
  <Characters>1555</Characters>
  <Lines>0</Lines>
  <Paragraphs>0</Paragraphs>
  <TotalTime>73</TotalTime>
  <ScaleCrop>false</ScaleCrop>
  <LinksUpToDate>false</LinksUpToDate>
  <CharactersWithSpaces>1635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2020-02-04T01:51:00Z</dcterms:created>
  <dc:creator>Administrator</dc:creator>
  <cp:lastModifiedBy>金格科技</cp:lastModifiedBy>
  <cp:lastPrinted>2020-02-13T02:11:00Z</cp:lastPrinted>
  <dcterms:modified xsi:type="dcterms:W3CDTF">2020-11-20T05:16:20Z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