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关于商请提供“三侨生”考生数据的函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市教育局：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当前，新冠疫情防控形势依然严峻复杂。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为切实做好新冠疫情期间“三侨生”升学照顾证明的出具工作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</w:rPr>
        <w:t>将提前开启202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年度“三侨生”考生身份确认预审工作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“三侨生”考生身份的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摸底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工作，为我市“三侨生”考生提供便利。故商请贵局提供202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我市涉及“三侨生”升学照顾证明的高三学生数据情况，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月15日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前报送至我部侨务科(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邮箱ptwqb2221991@163.com)，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并通知符合条件的高三考生可以将相关有效证明材料送至我部侨务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（市政府1号楼345室）进行材料预审。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附件：1.“三侨生”考生身份确认申报材料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年莆田市“三侨生”考生数据统计表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年莆田市“三侨生”考生数据统计表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中共莆田市委统战部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林志杰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咨询电话：0594-2221991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13607529558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“三侨生”考生身份确认申报材料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1.《福建省“三侨生”升学照顾身份证明书审核表》一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式2份；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2.考生常住户口簿或身份证；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3.归侨子女或归侨学生需提供以下材料（凭下列条款之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①《华侨来闽定居证》复印件，县级以上（含县级）政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府侨务部门办理的归侨、侨眷身份证明。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②本人有关归侨身份记载的档案复印件和单位对其归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侨身份所出具的证明（在省直机关、大专院校、中央驻闽机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构工作的，由单位人事部门出具证明；在设区市单位工作的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由其主管部门出具证明；在县一级单位工作的由其人事主管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部门出具证明；无工作单位的由其户口所在地的乡镇政府、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街道办事处和派出所出具证明。）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③本人户籍所在地侨务部门落实侨务政策资料中认定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记载其为归侨的内容。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④本人国外出生证、定居证或回国护照等的原件。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⑤公安部门提供的户籍档案。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4.华侨子女需提供以下材料：（凭下列条款之一）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①县（市、区）政府侨务部门办理的华侨身份证明。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②所在国政府颁发的定居证原件和护照原件，经我国驻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该国使领馆认证的合法居留证明原件（确因客观原因无法提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供我国驻该国使领馆认证的合法居留证明原件的，侨务部门可以要求以其他材料或国内公证机构出具的公证代替）。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③所在国政府颁发的定居证影印件、护照影印件及我国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驻该国使领馆对其定居证件的证明原件。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④定居在尚未与我国建交国家的华侨应提供驻在国居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留公证，并先由同我国和华侨定居国均有外交关系的第三国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驻该国使领馆办理认证，再到我国驻第三国的使领馆办理认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5.父母子女关系的确认（凭下列条款之一）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①户籍证明。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②父母子女关系公证书。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2022年莆田市“三侨生”考生数据统计表</w:t>
      </w:r>
    </w:p>
    <w:tbl>
      <w:tblPr>
        <w:tblStyle w:val="3"/>
        <w:tblW w:w="14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350"/>
        <w:gridCol w:w="1472"/>
        <w:gridCol w:w="2032"/>
        <w:gridCol w:w="1583"/>
        <w:gridCol w:w="1363"/>
        <w:gridCol w:w="1295"/>
        <w:gridCol w:w="1923"/>
        <w:gridCol w:w="2127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就读学校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属“三侨生”中何种考生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（归侨/华侨子女/归侨子女）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考试类别（普通高考/高职院校）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归侨/华侨家长姓名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何国归侨/华侨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（考生本人）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（家长国内联系方式）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2023年莆田市“三侨生”考生数据统计表</w:t>
      </w:r>
    </w:p>
    <w:tbl>
      <w:tblPr>
        <w:tblStyle w:val="3"/>
        <w:tblW w:w="14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350"/>
        <w:gridCol w:w="1472"/>
        <w:gridCol w:w="2032"/>
        <w:gridCol w:w="1583"/>
        <w:gridCol w:w="1363"/>
        <w:gridCol w:w="1295"/>
        <w:gridCol w:w="1923"/>
        <w:gridCol w:w="2127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就读学校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属“三侨生”中何种考生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（归侨/华侨子女/归侨子女）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考试类别（普通高考/高职院校）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归侨/华侨家长姓名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何国归侨/华侨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（考生本人）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（家长国内联系方式）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93546"/>
    <w:rsid w:val="003C2B12"/>
    <w:rsid w:val="0F5D4144"/>
    <w:rsid w:val="169E7C98"/>
    <w:rsid w:val="22BC01A7"/>
    <w:rsid w:val="28A86DCF"/>
    <w:rsid w:val="2F1C124A"/>
    <w:rsid w:val="321A1340"/>
    <w:rsid w:val="3A7530E1"/>
    <w:rsid w:val="5BD8206B"/>
    <w:rsid w:val="72C93546"/>
    <w:rsid w:val="7D3D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2021-09-26T01:29:00Z</dcterms:created>
  <dc:creator>Administrator</dc:creator>
  <cp:lastModifiedBy>Caicai</cp:lastModifiedBy>
  <cp:lastPrinted>2021-11-02T08:48:19Z</cp:lastPrinted>
  <dcterms:modified xsi:type="dcterms:W3CDTF">2021-11-02T08:50:03Z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4DB275A19B6048C3BEEDB39FB342015E</vt:lpwstr>
  </property>
</Properties>
</file>